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Style0"/>
        <w:tblW w:w="1073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8"/>
        <w:gridCol w:w="433"/>
        <w:gridCol w:w="4424"/>
        <w:gridCol w:w="301"/>
        <w:gridCol w:w="302"/>
        <w:gridCol w:w="565"/>
        <w:gridCol w:w="827"/>
        <w:gridCol w:w="1758"/>
        <w:gridCol w:w="1563"/>
        <w:gridCol w:w="275"/>
      </w:tblGrid>
      <w:tr>
        <w:trPr>
          <w:tblHeader w:val="true"/>
          <w:trHeight w:val="87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3264535" cy="1270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"/>
                              <wps:cNvSpPr/>
                            </wps:nvSpPr>
                            <wps:spPr>
                              <a:xfrm>
                                <a:off x="0" y="0"/>
                                <a:ext cx="3263760" cy="72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2"/>
                                <a:stretch>
                                  <a:fillRect/>
                                </a:stretch>
                              </a:blip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stroked="f" style="position:absolute;margin-left:0.05pt;margin-top:0pt;width:256.95pt;height:0pt;mso-wrap-style:none;v-text-anchor:middle">
                      <v:imagedata r:id="rId2" o:detectmouseclick="t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ДОГОВОР НА ОКАЗАНИЕ ПЛАТНЫХ ОБРАЗОВАТЕЛЬНЫХ УСЛУГ № _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__________________</w:t>
            </w:r>
          </w:p>
        </w:tc>
      </w:tr>
      <w:tr>
        <w:trPr>
          <w:trHeight w:val="60" w:hRule="atLeast"/>
        </w:trPr>
        <w:tc>
          <w:tcPr>
            <w:tcW w:w="5446" w:type="dxa"/>
            <w:gridSpan w:val="4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г. Новосибирск</w:t>
            </w:r>
          </w:p>
        </w:tc>
        <w:tc>
          <w:tcPr>
            <w:tcW w:w="5290" w:type="dxa"/>
            <w:gridSpan w:val="6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"_____" ______________________ 20____ г.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АВТОНОМНАЯ НЕКОММЕРЧЕСКАЯ ОРГАНИЗАЦИЯ ДОПОЛНИТЕЛЬНОГО ПРОФЕССИОНАЛЬНОГО ОБРАЗОВАНИЯ УЧЕБНЫЙ ЦЕНТР "ПРОМСТРОЙГАЗ" (АНО ДПО УЧЕБНЫЙ ЦЕНТР "ПРОМСТРОЙГАЗ") (Лицензия № 11812 от 4 марта 2021 г., выдана Министерством образования, науки и инновационной политики НСО, срок действия лицензии – бессрочно), именуемая в дальнейшем «Исполнитель», в лице Генерального директора Боровских Павла Сергеевича, действующего на основании Устава с одной стороны и ___________________________________, паспорт ________ №______________ выдан _______________________________, именуемая в дальнейшем «Заказчик», с другой стороны (далее по тексту – Стороны) заключили настоящий счет-договор о нижеследующем: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1. ПРЕДМЕТ ДОГОВОРА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1.1. Исполнитель предоставляет, а Заказчик принимает и оплачивает следующие образовательные услуги:</w:t>
            </w:r>
          </w:p>
        </w:tc>
      </w:tr>
      <w:tr>
        <w:trPr>
          <w:trHeight w:val="9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№</w:t>
            </w:r>
          </w:p>
        </w:tc>
        <w:tc>
          <w:tcPr>
            <w:tcW w:w="4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Наименование услуги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Ед. изм.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Кол-во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Цена, руб. коп.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Сумма, руб. коп.</w:t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472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8"/>
                <w:szCs w:val="18"/>
                <w:lang w:val="ru-RU" w:eastAsia="ru-RU" w:bidi="ar-SA"/>
              </w:rPr>
              <w:t>Чел.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sz w:val="18"/>
                <w:szCs w:val="18"/>
              </w:rPr>
            </w:pPr>
            <w:r>
              <w:rPr>
                <w:rFonts w:eastAsia="" w:cs="" w:ascii="Arial" w:hAnsi="Arial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685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Итого без учета НДС: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>
              <w:top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0448" w:type="dxa"/>
            <w:gridSpan w:val="9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Всего наименований ___, на сумму _____________ руб. (_____________________________________________________________)</w:t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10" w:type="dxa"/>
            <w:gridSpan w:val="7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НДС не облагается на основании гл. 26.2 НК РФ ч.2, ст.346.11</w:t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1.2. Форма обучения: Очно-заочная с применением дистанционных технологий.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1.3. Срок обучения в соответствии с рабочим учебным планом (индивидуальным графиком), в течение 6 месяцев с даты заключения договора.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1.4. После прохождения Заказчиком полного курса обучения и успешной итоговой аттестации ему выдается документ установленного образца по программе указанной в п. 1.1 настоящего Договора, либо документ об освоении тех или иных компонентов образовательной программы в случае отчисления Заказчика из образовательного учреждения до завершения им обучения в полном объеме.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2. ПРАВА ИСПОЛНИТЕЛЯ, ЗАКАЗЧИКА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2.1. Исполнитель вправе: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2.1.1. Самостоятельно осуществлять образовательный процесс,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Исполнителя, а также в соответствии с локальными нормативными актами Исполнителя.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2.2. Заказчик вправе: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2.2.1. Требовать от Исполнителя предоставления информации по вопросам организации и обеспечения надлежащего исполнения услуг, предусмотренных разделом 1 настоящего договора.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2.2.2. Получать полную и достоверную информацию об оценке своих знаний, умений и навыков, а также о критериях этой оценки.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3. ОБЯЗАННОСТИ ИСПОЛНИТЕЛЯ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3.1. Зачислить Заказчика, выполнившего установленные Уставом и иными локальными нормативными актами Исполнителя условия приема, в образовательное учреждение.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3.2. Организовать и обеспечить надлежащее исполнение услуг, предусмотренных настоящим Договором.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3.3. В течение 5 (пяти) дней с момента поступления оплаты в соответствии с разделом 5 настоящего Договора предоставить Заказчику логин и пароль от личного кабинета для получения доступа к учебным материалам.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4. ОБЯЗАННОСТИ ЗАКАЗЧИКА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4.1. Своевременно вносить плату за предоставляемые услуги, указанные в разделе 1 настоящего договора.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4.2. При поступлении в образовательное учреждение и в процессе его обучения своевременно предоставлять все необходимые документы.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4.3. Соблюдать требования Устава Исполнителя, Правил внутреннего распорядка и иных локальных нормативных актов, соблюдать учебную дисциплину и общепринятые нормы поведения.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4.4. В случае, если это предусмотрено образовательной программой своевременно и самостоятельно проходить производственную практику. При этом Заказчик несет ответственность за достоверность предоставляемых Исполнителю сведений.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4.5. В течение 5 (пяти) дней с момента получения доступа к личному кабинету приступить к образовательному процессу.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5. ОПЛАТА УСЛУГ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5.1. Заказчик осуществляет оплату услуг путем перечисления денежных средств на расчетный счет Исполнителя, либо внесением в кассу в течение 3 (трех) рабочих дней с момента подписания настоящего счета-договора.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5.2. Датой оплаты Заказчиком услуг по договору считается дата поступления денежных средств на расчетный счет, либо в кассу Исполнителя.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5.3. Услуга предоставляется не позднее 5 (пяти) рабочих дней с момента поступления денежных средств на расчетный счет Исполнителя.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6. ОСНОВАНИЯ ИЗМЕНЕНИЯ И РАСТОРЖЕНИЯ ДОГОВОРА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6.2. Настоящий договор может быть расторгнут по соглашению сторон.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6.3. Заказчик вправе отказаться от исполнения договора при условии оплаты Исполнителю фактически понесенных им расходов.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6.4. Исполнитель вправе отказаться от исполнения обязательств по договору лишь при условии полного возмещения Заказчику убытков. В случае, если Заказчик не приступил к обучению в течении 6 (шести) месяцев обязательства по договору Исполнителем считаются исполненными.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7. ОТВЕТСТВЕННОСТЬ ЗА НЕИСПОЛНЕНИЕ ИЛИ НЕНАДЛЕЖАЩЕЕ ИСПОЛНЕНИЕ ОБЯЗАТЕЛЬСТВ ПО НАСТОЯЩЕМУ ДОГОВОРУ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"О защите прав потребителей" и иными нормативными правовыми актами.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7.2. Все споры по настоящему договору подлежат разрешению в суде по месту нахождения Исполнителя.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8. СРОК ДЕЙСТВИЯ ДОГОВОРА И ДРУГИЕ УСЛОВИЯ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8.1. Настоящий договор вступает в силу со дня его заключения сторонами и действует до 4 августа 2021 г.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8.2. Заказчик до подписания настоящего Договора получил полную информацию об оказываемых платных образовательных услугах, обеспечивающую возможность их правильного выбора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Федерации».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8.3. Заказчик несет ответственность за достоверность предоставляемых им сведений и документов предоставляемых им Исполнителю.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8.4. В соответствии с Федеральным законом от 27.07.2006 № 152-ФЗ (ред. от 31.12.2017) «О персональных данных», Заказчик дает Исполнителю свое согласие на обработку персональных данных.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      </w:t>
            </w: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8.5. Договор составлен в двух экземплярах, имеющих равную юридическую силу.</w:t>
            </w:r>
          </w:p>
        </w:tc>
      </w:tr>
      <w:tr>
        <w:trPr>
          <w:trHeight w:val="60" w:hRule="atLeast"/>
        </w:trPr>
        <w:tc>
          <w:tcPr>
            <w:tcW w:w="10736" w:type="dxa"/>
            <w:gridSpan w:val="10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Segoe UI" w:hAnsi="Segoe UI"/>
                <w:b/>
                <w:b/>
                <w:sz w:val="18"/>
                <w:szCs w:val="18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lang w:val="ru-RU" w:eastAsia="ru-RU" w:bidi="ar-SA"/>
              </w:rPr>
              <w:t>9. РЕКВИЗИТЫ СТОРОН</w:t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b/>
                <w:b/>
                <w:sz w:val="18"/>
                <w:szCs w:val="18"/>
                <w:u w:val="single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u w:val="single"/>
                <w:lang w:val="ru-RU" w:eastAsia="ru-RU" w:bidi="ar-SA"/>
              </w:rPr>
              <w:t>Исполнитель:</w:t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b/>
                <w:b/>
                <w:sz w:val="18"/>
                <w:szCs w:val="18"/>
                <w:u w:val="single"/>
              </w:rPr>
            </w:pPr>
            <w:r>
              <w:rPr>
                <w:rFonts w:eastAsia="" w:cs="" w:ascii="Segoe UI" w:hAnsi="Segoe UI"/>
                <w:b/>
                <w:kern w:val="0"/>
                <w:sz w:val="18"/>
                <w:szCs w:val="18"/>
                <w:u w:val="single"/>
                <w:lang w:val="ru-RU" w:eastAsia="ru-RU" w:bidi="ar-SA"/>
              </w:rPr>
              <w:t>Заказчик:</w:t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АНО ДПО УЧЕБНЫЙ ЦЕНТР "ПРОМСТРОЙГАЗ"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ИНН / КПП: 5406590536 / 540601001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ОГРН: 1155476089900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Юридический адрес: 630005, Новосибирская обл, Новосибирск г, Некрасова ул, дом 54, офис 601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vMerge w:val="restart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р/с 40703810144050002653 в банке СИБИРСКИЙ БАНК ПАО СБЕРБАНК, БИК 045004641, к/с 30101810500000000641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vMerge w:val="continue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Телефон: +7(383)227-85-75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Телефон:</w:t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  <w:lang w:val="en-US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en-US" w:eastAsia="ru-RU" w:bidi="ar-SA"/>
              </w:rPr>
              <w:t>E-mail: info@promstroygaz.pro</w:t>
            </w:r>
          </w:p>
        </w:tc>
        <w:tc>
          <w:tcPr>
            <w:tcW w:w="301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  <w:lang w:val="en-US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  <w:lang w:val="en-US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E-mail: ____________________</w:t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195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1270" cy="1181735"/>
                      <wp:effectExtent l="0" t="0" r="0" b="0"/>
                      <wp:wrapNone/>
                      <wp:docPr id="2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1" name=""/>
                              <wps:cNvSpPr/>
                            </wps:nvSpPr>
                            <wps:spPr>
                              <a:xfrm>
                                <a:off x="0" y="0"/>
                                <a:ext cx="720" cy="118116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3"/>
                                <a:stretch>
                                  <a:fillRect/>
                                </a:stretch>
                              </a:blip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stroked="f" style="position:absolute;margin-left:0.05pt;margin-top:0pt;width:0pt;height:92.95pt;mso-wrap-style:none;v-text-anchor:middle">
                      <v:imagedata r:id="rId3" o:detectmouseclick="t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857" w:type="dxa"/>
            <w:gridSpan w:val="2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/Боровских П. С./</w:t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713" w:type="dxa"/>
            <w:gridSpan w:val="4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8"/>
                <w:szCs w:val="18"/>
                <w:lang w:val="ru-RU" w:eastAsia="ru-RU" w:bidi="ar-SA"/>
              </w:rPr>
              <w:t>/__________________________./</w:t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28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3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42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1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0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56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2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758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156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75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Segoe UI" w:hAnsi="Segoe UI"/>
                <w:sz w:val="18"/>
                <w:szCs w:val="18"/>
              </w:rPr>
            </w:pPr>
            <w:r>
              <w:rPr>
                <w:rFonts w:eastAsia="" w:cs="" w:ascii="Segoe UI" w:hAnsi="Segoe UI"/>
                <w:kern w:val="0"/>
                <w:sz w:val="16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4"/>
      <w:type w:val="nextPage"/>
      <w:pgSz w:w="11906" w:h="16838"/>
      <w:pgMar w:left="567" w:right="567" w:header="0" w:top="567" w:footer="720" w:bottom="77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Swis721 Lt BT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</w:docPartObj>
      <w:id w:val="1960919211"/>
    </w:sdtPr>
    <w:sdtContent>
      <w:p>
        <w:pPr>
          <w:pStyle w:val="Normal"/>
          <w:rPr/>
        </w:pPr>
        <w:r>
          <w:rPr/>
          <w:tab/>
          <w:tab/>
        </w:r>
        <w:r>
          <w:rPr>
            <w:rFonts w:ascii="Swis721 Lt BT" w:hAnsi="Swis721 Lt BT"/>
            <w:color w:val="000000"/>
            <w:sz w:val="16"/>
          </w:rPr>
          <w:t>PROMSTROYGAZ.PRO</w:t>
        </w:r>
      </w:p>
    </w:sdtContent>
  </w:sdt>
  <w:p>
    <w:pPr>
      <w:pStyle w:val="Normal"/>
      <w:spacing w:before="0" w:after="160"/>
      <w:rPr/>
    </w:pPr>
    <w:r>
      <w:rPr/>
    </w:r>
  </w:p>
</w:ft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pPr>
      <w:spacing w:after="0" w:line="240" w:lineRule="auto"/>
    </w:pPr>
    <w:rPr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LibreOffice/7.1.3.2$Windows_X86_64 LibreOffice_project/47f78053abe362b9384784d31a6e56f8511eb1c1</Application>
  <AppVersion>15.0000</AppVersion>
  <Pages>2</Pages>
  <Words>839</Words>
  <Characters>5951</Characters>
  <CharactersWithSpaces>6911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2021-06-29T13:24:00Z</dcterms:created>
  <dc:creator/>
  <dc:description/>
  <dc:language>ru-RU</dc:language>
  <cp:lastModifiedBy>Татьяна</cp:lastModifiedBy>
  <dcterms:modified xsi:type="dcterms:W3CDTF">2021-06-29T13:27:00Z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